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30" w:rsidRDefault="00FD7E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Verdana" w:eastAsia="Verdana" w:hAnsi="Verdana" w:cs="Verdana"/>
        </w:rPr>
      </w:pP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2413"/>
        <w:gridCol w:w="2449"/>
      </w:tblGrid>
      <w:tr w:rsidR="00FD7E30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MAPPA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D7E30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1) INFORMAZIONI GENERALI</w:t>
            </w:r>
          </w:p>
        </w:tc>
      </w:tr>
      <w:tr w:rsidR="00FD7E3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TITOLO DEL PERCORSO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1" w:hanging="3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“</w:t>
            </w:r>
            <w:r w:rsidR="00325DA5">
              <w:rPr>
                <w:rFonts w:ascii="Verdana" w:eastAsia="Verdana" w:hAnsi="Verdana" w:cs="Verdana"/>
                <w:sz w:val="32"/>
                <w:szCs w:val="32"/>
              </w:rPr>
              <w:t>MUSICHE GNOVE CENCE DISTANCE</w:t>
            </w:r>
            <w:r>
              <w:rPr>
                <w:rFonts w:ascii="Verdana" w:eastAsia="Verdana" w:hAnsi="Verdana" w:cs="Verdana"/>
                <w:sz w:val="32"/>
                <w:szCs w:val="32"/>
              </w:rPr>
              <w:t>”</w:t>
            </w:r>
          </w:p>
        </w:tc>
      </w:tr>
      <w:tr w:rsidR="00FD7E30">
        <w:trPr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CONTESTO  DI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LAVORO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Enrico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Fruch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FD7E30">
        <w:trPr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FD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/sezione e numero di alunni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3^ A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15</w:t>
            </w:r>
          </w:p>
        </w:tc>
      </w:tr>
      <w:tr w:rsidR="00FD7E30" w:rsidTr="0071718A">
        <w:trPr>
          <w:trHeight w:val="35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FD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docenti</w:t>
            </w:r>
            <w:proofErr w:type="gram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nomi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discipline</w:t>
            </w:r>
            <w:proofErr w:type="gramEnd"/>
          </w:p>
        </w:tc>
      </w:tr>
      <w:tr w:rsidR="00FD7E30">
        <w:trPr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FD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FD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Angela Tedeschi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Musica </w:t>
            </w:r>
          </w:p>
        </w:tc>
      </w:tr>
      <w:tr w:rsidR="00FD7E3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MOTIVAZIONI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progetto di musica, qui presentato, è stato ideato per raggiungere gli alunni durante la chiusura delle scuole per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Covid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19. Il tema delle attività riguardava gli animali in generale e già nelle prime lezioni in classe erano state presentate delle unità per conoscere i nomi e le caratteristiche degli animali domestici.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Naturalmente l'attività a distanza, ha rivoluzionato la progettazione iniziale e quindi è stato necessaria - per raggiungere tutti - una granularità delle attività, che ha portato alla preparazione di piccole unità facilmente accessibili ai ragazzi e alle famiglie. 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Utilizzando un software chiamato “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Screencast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matic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” è stato possibile creare una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videolezione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registrando un video dallo schermo del pc insieme ad una registrazione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audio,che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può essere anche la nostra voce. Per il lavoro in questione, sono state usate le tracce di un cd.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Finita la registrazione gli alunni hanno ricevuto un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semplice documento in pdf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contenente un link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che ha consentito loro di poter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ascoltare le canzoni rap di un noto e molto apprezzato cantante friulano, Dj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Tubet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Il so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ftware genera anche un file mp4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può essere inviato e scaricato nel proprio pc.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Accanto ai testi, che gli alunni hanno potuto imparare e cantare a casa (come se si trattasse di un karaoke), è stata inserita una pagina di grammatica, legata ad una precisa regola che il breve testo conteneva, come ad es. le vocali, la forma affermativa e negativa del verbo al tempo presente, i suoni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... 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Al di là, però della situazione contingente, quest’esempio di lavoro potrebbe servire per presentare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 in classe 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n’attività   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 xml:space="preserve">consentire agli alunni di scaricarla nel proprio pc/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tablet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- nel caso specifico di ascoltare o di fare brevi esercizi di riflessione linguistica, seguendo le regole indicate nella slide dall’insegnante.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D7E30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20 ore </w:t>
            </w:r>
          </w:p>
        </w:tc>
      </w:tr>
      <w:tr w:rsidR="00FD7E30">
        <w:trPr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FD7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/frequenza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una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volta a settimana</w:t>
            </w:r>
          </w:p>
        </w:tc>
      </w:tr>
      <w:tr w:rsidR="00FD7E3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DISCIPLINE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MUSICA </w:t>
            </w:r>
          </w:p>
        </w:tc>
      </w:tr>
      <w:tr w:rsidR="00FD7E3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LINGUE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Friulano e Italiano </w:t>
            </w:r>
          </w:p>
        </w:tc>
      </w:tr>
      <w:tr w:rsidR="00FD7E30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MATERIALI/ STRUMENTI USATI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Cd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“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glimuç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magne”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Edizions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Tomât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” D.J.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Tubet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Associazione culturale “Ermes di Colloredo”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Dvd/ pc 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lavoro di video registrazione consiste nel preparare un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ppt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(anche con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google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presentazioni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) e poi utilizzando </w:t>
            </w:r>
            <w:proofErr w:type="spellStart"/>
            <w:r w:rsidR="0071718A">
              <w:rPr>
                <w:rFonts w:ascii="Verdana" w:eastAsia="Verdana" w:hAnsi="Verdana" w:cs="Verdana"/>
                <w:sz w:val="24"/>
                <w:szCs w:val="24"/>
              </w:rPr>
              <w:t>Screencast</w:t>
            </w:r>
            <w:proofErr w:type="spellEnd"/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 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71718A">
              <w:rPr>
                <w:rFonts w:ascii="Verdana" w:eastAsia="Verdana" w:hAnsi="Verdana" w:cs="Verdana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atic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( ma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ne esistono anche altri come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Loom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Screencastify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…) si può registrare l’audio.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Può es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sere d’aiuto il video tutorial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per l’uso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Screencast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- O-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Matic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del  prof.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Giancarlo Marini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B94D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hyperlink r:id="rId6">
              <w:r w:rsidR="00820B6F">
                <w:rPr>
                  <w:rFonts w:ascii="Verdana" w:eastAsia="Verdana" w:hAnsi="Verdana" w:cs="Verdana"/>
                  <w:color w:val="1155CC"/>
                  <w:sz w:val="24"/>
                  <w:szCs w:val="24"/>
                  <w:u w:val="single"/>
                </w:rPr>
                <w:t>https://youtu.be/KAwmBkq3Yd0</w:t>
              </w:r>
            </w:hyperlink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seguente video per la creazione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ppt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B94DC1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hyperlink r:id="rId7">
              <w:r w:rsidR="00820B6F">
                <w:rPr>
                  <w:rFonts w:ascii="Verdana" w:eastAsia="Verdana" w:hAnsi="Verdana" w:cs="Verdana"/>
                  <w:color w:val="1155CC"/>
                  <w:sz w:val="24"/>
                  <w:szCs w:val="24"/>
                  <w:u w:val="single"/>
                </w:rPr>
                <w:t>Come utilizzare Presentazioni Google - Computer - Guida di Editor di Documenti</w:t>
              </w:r>
            </w:hyperlink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D7E30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2) SCHEDA DIDATTICA GENERALE</w:t>
            </w:r>
          </w:p>
        </w:tc>
      </w:tr>
      <w:tr w:rsidR="00FD7E30" w:rsidTr="0071718A">
        <w:trPr>
          <w:trHeight w:val="411"/>
        </w:trPr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Ascoltare e comprendere </w:t>
            </w:r>
          </w:p>
          <w:p w:rsidR="00FD7E30" w:rsidRP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Ascoltare e comprendere il tema e le informazioni essenziali di un’esposizione diretta o trasmessa</w:t>
            </w:r>
          </w:p>
          <w:p w:rsidR="00FD7E30" w:rsidRDefault="00820B6F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Comprendere consegne e istruzioni di attività scolastiche ed extrascolastiche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Leggere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Seguire istruzioni scritte per svolgere un’attività, per realizzare un procedimento </w:t>
            </w:r>
          </w:p>
          <w:p w:rsidR="00FD7E30" w:rsidRDefault="00820B6F" w:rsidP="0071718A">
            <w:pPr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Leggere e comprendere semplici testi di narrativa, di studio e testi poetici, cogliendone il senso e l’intenzione comunicativa dell’autore ed esprimere pareri personali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Parlare 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Comprendere ed utilizzare in modo appropriato il lessico di base (</w:t>
            </w:r>
            <w:r w:rsidR="0071718A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parole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del vocabolario fondamentali)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Arricchire il patrimonio lessicale attraverso attività comunicative orali, di lettura e scrittura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Utilizzare alcuni termini lessicali relativi a specifici argomenti.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Comprendere, nei casi più semplici e frequenti, l’uso e il significato figurato delle parole.</w:t>
            </w:r>
          </w:p>
          <w:p w:rsidR="00FD7E30" w:rsidRP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Utilizzare il dizionario come strumento di consultazione.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Scrivere 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Scrivere correttamente parole e un semplice testo rispettando le principali regole della grafia.</w:t>
            </w:r>
          </w:p>
          <w:p w:rsidR="00FD7E30" w:rsidRP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Riconoscere alcuni elementi grammaticali e di</w:t>
            </w:r>
            <w:r w:rsidR="0071718A"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funzionamento della lingua friulana.</w:t>
            </w:r>
          </w:p>
          <w:p w:rsidR="00FD7E30" w:rsidRPr="0071718A" w:rsidRDefault="00820B6F">
            <w:pPr>
              <w:ind w:left="1" w:hanging="3"/>
              <w:rPr>
                <w:rFonts w:ascii="Verdana" w:eastAsia="Verdana" w:hAnsi="Verdana" w:cs="Verdana"/>
                <w:i/>
                <w:sz w:val="24"/>
                <w:szCs w:val="24"/>
                <w:u w:val="single"/>
              </w:rPr>
            </w:pPr>
            <w:r w:rsidRPr="0071718A">
              <w:rPr>
                <w:rFonts w:ascii="Verdana" w:eastAsia="Verdana" w:hAnsi="Verdana" w:cs="Verdana"/>
                <w:i/>
                <w:sz w:val="28"/>
                <w:szCs w:val="28"/>
                <w:u w:val="single"/>
              </w:rPr>
              <w:t xml:space="preserve">Disciplinari 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>MUSICA: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Eseguire collettivamente e individualmente brani vocali/strumentali anche polifonici, curando l’intonazione, l’espressività e l’interpretazione.</w:t>
            </w:r>
          </w:p>
          <w:p w:rsidR="00FD7E30" w:rsidRP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Valutare aspetti funzionali ed estetici in brani musicali di vario genere e stile in relazione al riconoscimento di culture, di tempi e luoghi diversi.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TECNOLOGIA: </w:t>
            </w:r>
          </w:p>
          <w:p w:rsidR="0071718A" w:rsidRDefault="00820B6F" w:rsidP="0071718A">
            <w:pPr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Conoscere le proprietà e le caratteristiche dei diversi mezzi di comunicazione ed è in grado di farne un uso efficace e responsabile, rispetto alle proprie necessità di studio.</w:t>
            </w:r>
          </w:p>
          <w:p w:rsidR="00FD7E30" w:rsidRPr="0071718A" w:rsidRDefault="00820B6F" w:rsidP="0071718A">
            <w:pPr>
              <w:spacing w:after="0"/>
              <w:ind w:left="0" w:hanging="2"/>
              <w:rPr>
                <w:rFonts w:ascii="Verdana" w:eastAsia="Verdana" w:hAnsi="Verdana" w:cs="Verdana"/>
                <w:b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Saper scaricare un file da pc, usare</w:t>
            </w:r>
            <w:r w:rsidR="0071718A"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un comune programma di utilità</w:t>
            </w:r>
          </w:p>
        </w:tc>
      </w:tr>
      <w:tr w:rsidR="00FD7E30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METODOLOGIE / STRATEGIE USATE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DAD </w:t>
            </w:r>
          </w:p>
        </w:tc>
      </w:tr>
      <w:tr w:rsidR="00FD7E30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3) DESCRIZIONE DEL PERCORSO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D7E30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FASI DEL LAVORO 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>Preparazione del lavoro: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Per preparare le slide è stato usato </w:t>
            </w:r>
            <w:r w:rsidR="0071718A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Presentazioni Google,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un'applicazione per presentazioni online che consente di creare e formattare presentazioni e lavorare con altre persone. Si può usare anche il classico PPT, ma con “presenta</w:t>
            </w:r>
            <w:r w:rsidR="0071718A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zioni” si può lavorare insieme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anche a distanza.</w:t>
            </w:r>
          </w:p>
          <w:p w:rsidR="0071718A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Sulle slide, sono stati scritti i testi e le parti di riflessioni sulla lingua.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Salvare in pdf.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Successivamente con il software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Screencast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- O -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Matic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effettuare la registrazione della canzone tratta dal cd, eseguendo le indicazioni sia per la pubblicazione che per il download del brano versione mp4. 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Copiare il link su un file, che può essere conservato sul desk o in una cartella dedicata.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Per usare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Screencast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, bisogna registrarsi e attenersi alle istruzioni: avere a disposizione il link della registrazione consente un invio veloce dello stesso tramite un fogli</w:t>
            </w:r>
            <w:r w:rsidR="0071718A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o word o fogli di Google in pdf, 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contenenti anche informazioni sul lavoro da eseguire</w:t>
            </w:r>
            <w:r w:rsidR="0071718A"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,</w:t>
            </w: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come ad esempio esercizi di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>cloze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 e/o metti in ordine…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i/>
                <w:sz w:val="24"/>
                <w:szCs w:val="24"/>
                <w:highlight w:val="white"/>
              </w:rPr>
              <w:t xml:space="preserve">Inviare tramite mail. 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i/>
                <w:color w:val="FF0000"/>
                <w:sz w:val="24"/>
                <w:szCs w:val="24"/>
              </w:rPr>
            </w:pPr>
          </w:p>
        </w:tc>
      </w:tr>
      <w:tr w:rsidR="00FD7E30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sz w:val="24"/>
                <w:szCs w:val="24"/>
              </w:rPr>
              <w:t xml:space="preserve">4) MATERIALI 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i/>
                <w:sz w:val="24"/>
                <w:szCs w:val="24"/>
              </w:rPr>
            </w:pPr>
          </w:p>
        </w:tc>
      </w:tr>
      <w:tr w:rsidR="00FD7E30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MATERIALI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USATI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Cd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“Il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glimuç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Magne” di Dj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Tubet</w:t>
            </w:r>
            <w:proofErr w:type="spellEnd"/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  -</w:t>
            </w:r>
            <w:proofErr w:type="gramEnd"/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Ed.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Tomât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 </w:t>
            </w:r>
          </w:p>
          <w:p w:rsidR="0071718A" w:rsidRDefault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Testi:</w:t>
            </w:r>
          </w:p>
          <w:p w:rsidR="0071718A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“O impari il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Furlan”di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 F.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Sguerzi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Ed. SSF</w:t>
            </w:r>
          </w:p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“Scrivi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” di P.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Roseano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A.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Madriz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Ed SFF</w:t>
            </w:r>
          </w:p>
          <w:p w:rsidR="0071718A" w:rsidRDefault="0071718A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“</w:t>
            </w:r>
            <w:r w:rsidR="00820B6F">
              <w:rPr>
                <w:rFonts w:ascii="Verdana" w:eastAsia="Verdana" w:hAnsi="Verdana" w:cs="Verdana"/>
                <w:sz w:val="24"/>
                <w:szCs w:val="24"/>
              </w:rPr>
              <w:t xml:space="preserve">Cors di </w:t>
            </w:r>
            <w:proofErr w:type="spellStart"/>
            <w:r w:rsidR="00820B6F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="00820B6F">
              <w:rPr>
                <w:rFonts w:ascii="Verdana" w:eastAsia="Verdana" w:hAnsi="Verdana" w:cs="Verdana"/>
                <w:sz w:val="24"/>
                <w:szCs w:val="24"/>
              </w:rPr>
              <w:t xml:space="preserve"> Furlane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” di S.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Garlatti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820B6F">
              <w:rPr>
                <w:rFonts w:ascii="Verdana" w:eastAsia="Verdana" w:hAnsi="Verdana" w:cs="Verdana"/>
                <w:sz w:val="24"/>
                <w:szCs w:val="24"/>
              </w:rPr>
              <w:t>Costa e R. Melchior</w:t>
            </w:r>
          </w:p>
          <w:p w:rsidR="00FD7E30" w:rsidRDefault="0071718A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820B6F">
              <w:rPr>
                <w:rFonts w:ascii="Verdana" w:eastAsia="Verdana" w:hAnsi="Verdana" w:cs="Verdana"/>
                <w:sz w:val="24"/>
                <w:szCs w:val="24"/>
              </w:rPr>
              <w:t xml:space="preserve"> -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Ed </w:t>
            </w:r>
            <w:r w:rsidR="00820B6F">
              <w:rPr>
                <w:rFonts w:ascii="Verdana" w:eastAsia="Verdana" w:hAnsi="Verdana" w:cs="Verdana"/>
                <w:sz w:val="24"/>
                <w:szCs w:val="24"/>
              </w:rPr>
              <w:t>CUF</w:t>
            </w:r>
          </w:p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Dizionari DOF di A. Carrozzo  </w:t>
            </w:r>
          </w:p>
        </w:tc>
      </w:tr>
      <w:tr w:rsidR="00FD7E30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MATERIALI </w:t>
            </w: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PRODOTTI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File audio mp4.</w:t>
            </w:r>
          </w:p>
        </w:tc>
      </w:tr>
      <w:tr w:rsidR="00FD7E30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5) VALUTAZIONE</w:t>
            </w:r>
          </w:p>
          <w:p w:rsidR="00FD7E30" w:rsidRDefault="00FD7E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D7E30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ASPETTI LINGUISTICI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Le attività canore sono sempre coinvolgenti per gli alunni e la riflessione linguistica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 xml:space="preserve">sui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testi, così come l’uso delle metafore nelle poesie  sulla vita o caratteristiche  degli animali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 hanno consentito agli alunni di riflettere sull’uso della poesia, che in poche righe, ci presenta una descrizione completa e originale dei personaggi delle canzoni e,  legata proprio all’educazione al suono, fa comprendere  come la </w:t>
            </w:r>
            <w:r w:rsidR="0071718A">
              <w:rPr>
                <w:rFonts w:ascii="Verdana" w:eastAsia="Verdana" w:hAnsi="Verdana" w:cs="Verdana"/>
                <w:sz w:val="24"/>
                <w:szCs w:val="24"/>
              </w:rPr>
              <w:t>lingua friulana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sia così musicale e adattabile anche a generi musicali come il rap che consiste in una sequenza di versi molto ritmati e incentrati su tecniche come rime baciate, assonanze ed allitterazioni.</w:t>
            </w:r>
          </w:p>
        </w:tc>
      </w:tr>
      <w:tr w:rsidR="00FD7E30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CONTENUTI DISCIPLINARI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71718A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820B6F">
              <w:rPr>
                <w:rFonts w:ascii="Verdana" w:eastAsia="Verdana" w:hAnsi="Verdana" w:cs="Verdana"/>
                <w:sz w:val="24"/>
                <w:szCs w:val="24"/>
              </w:rPr>
              <w:t>l mondo simbolico degli animali, espresso in poesia.</w:t>
            </w:r>
          </w:p>
        </w:tc>
      </w:tr>
      <w:tr w:rsidR="00FD7E30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E30" w:rsidRDefault="00820B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MOTIVAZIONE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E30" w:rsidRDefault="00820B6F" w:rsidP="007171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Le lezioni di musica ed in particolare i generi che vanno dal reggae al rap passando per il funky sono state sicuramente apprezzate dagli alunni, purtroppo la parte corale non è stata realizzata, ma i riscontri sono stati positivi. </w:t>
            </w:r>
          </w:p>
        </w:tc>
      </w:tr>
    </w:tbl>
    <w:p w:rsidR="00FD7E30" w:rsidRDefault="00FD7E30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</w:p>
    <w:sectPr w:rsidR="00FD7E3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B1C"/>
    <w:multiLevelType w:val="multilevel"/>
    <w:tmpl w:val="2E6427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4C6379"/>
    <w:multiLevelType w:val="multilevel"/>
    <w:tmpl w:val="B2CCB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92762C"/>
    <w:multiLevelType w:val="multilevel"/>
    <w:tmpl w:val="6FF44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224013"/>
    <w:multiLevelType w:val="multilevel"/>
    <w:tmpl w:val="9FD4FD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E1712F"/>
    <w:multiLevelType w:val="multilevel"/>
    <w:tmpl w:val="E578E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607B24"/>
    <w:multiLevelType w:val="multilevel"/>
    <w:tmpl w:val="EC70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340AC4"/>
    <w:multiLevelType w:val="multilevel"/>
    <w:tmpl w:val="52BA0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637BEF"/>
    <w:multiLevelType w:val="multilevel"/>
    <w:tmpl w:val="9E9E8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30"/>
    <w:rsid w:val="00325DA5"/>
    <w:rsid w:val="0071718A"/>
    <w:rsid w:val="00820B6F"/>
    <w:rsid w:val="00B94DC1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E245-E9FA-4698-A884-A9D5C5A1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google.com/docs/answer/2763168?co=GENIE.Platform%3DDesktop&amp;hl=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AwmBkq3Y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AFmeB4+SrYI0eSAesgK9TcFOA==">AMUW2mXZMevzXXO6I+2z3KRt+TDmwzch9jY1+9DCCpTqcJIhnhrZ8+8VnTDFChsnOUsl962w/5oquIyCxeskdeiPJeHBb5baz/UggcG1vFJFv+k1HHTaHnw=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pcinsegnanti2</dc:creator>
  <cp:lastModifiedBy>seven</cp:lastModifiedBy>
  <cp:revision>4</cp:revision>
  <dcterms:created xsi:type="dcterms:W3CDTF">2020-07-13T14:53:00Z</dcterms:created>
  <dcterms:modified xsi:type="dcterms:W3CDTF">2020-07-13T20:51:00Z</dcterms:modified>
</cp:coreProperties>
</file>